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2008/129 vom 21. August 2009</w:t>
      </w:r>
    </w:p>
    <w:p>
      <w:r>
        <w:t>Sg Versicherungsgericht, 2009-08-21, DE</w:t>
      </w:r>
    </w:p>
    <w:p>
      <w:r>
        <w:rPr>
          <w:b/>
        </w:rPr>
        <w:t xml:space="preserve">Quelle: </w:t>
      </w:r>
      <w:r>
        <w:t>https://mcp.opencaselaw.ch/entscheid/sg_publikationen_IV 2008_129</w:t>
      </w:r>
    </w:p>
    <w:p>
      <w:r>
        <w:t>FR: SG_VERSICHERUNGSGERICHT IV 2008/129 du 21 août 2009</w:t>
      </w:r>
    </w:p>
    <w:p>
      <w:r>
        <w:t>IT: SG_VERSICHERUNGSGERICHT IV 2008/129 del 21 agosto 2009</w:t>
      </w:r>
    </w:p>
    <w:p>
      <w:pPr>
        <w:pStyle w:val="Heading2"/>
      </w:pPr>
      <w:r>
        <w:t>Regeste</w:t>
      </w:r>
    </w:p>
    <w:p>
      <w:r>
        <w:t>Art. 28 IVG: Anspruch auf eine Invalidenrente; Beweiswert von medizinischen Gutachten (Entscheid des Versicherungsgerichts des Kantons St. Gallen vom 21. August 2009, IV 2008/129).</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31. Januar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2.1  Streitig und zu prüfen ist, ob die Beschwerdegegnerin den Anspruch der Beschwerdeführerin auf eine Invalidenrente zu Recht abgelehnt hat. 2.2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Die Beschwerdegegnerin stützt sich in der angefochtenen Verfügung auf die im Gutachten von Dr. B.___ festgelegte 90%ige Arbeitsfähigkeit in einer adaptierten Tätigkeit. Die Beschwerdeführerin macht geltend, es könne nicht ausschliesslich auf das Gutachten von Dr. B.___ abgestellt werden, zumal im Gutachten der SMCA-BA vom 1. September 2005 von einer 50%igen, mittelfristig von einer 75%igen Arbeitsfähigkeit, ausgegangen werde und auch Dr. A.___ eine 50%ige Arbeitsfähigkeit attestiere. 3.2  Im Bericht der SMCA-BA vom 28. April 2005 wurde als Diagnose mit Auswirkung auf die Arbeitsfähigkeit eine Hüftdysplasie beidseits festgehalten. Auf dem freien Arbeitsmarkt könne die Beschwerdeführerin eine 50%ige Arbeitsfähigkeit verwirklichen. Es solle es sich dabei um eine Tätigkeit ohne Heben von Gewichten sowie zu 2/3 sitzend und zu 1/3 stehend handeln. Bei einer solchen Tätigkeit könne die Beschwerdeführerin eine 75%ige Arbeitsfähigkeit erlangen. In einer weiteren medizinischen Beurteilung der SMCA-BA vom 1. September 2005 wurde zusätzlich der Verdacht auf eine somatoforme Schmerzstörung diagnostiziert. Die Beschwerdeführerin könne in einer dem Leiden angepassten Tätigkeit (3/4 sitzend und 1/4 stehend sowie ohne Heben von Gewichten) auf dem freien Arbeitsmarkt eine 75%ige Arbeitsfähigkeit erbringen (act. G 4.2). 3.3   Die von Dr. B.___ gestellte Diagnose einer angedeuteten Hüftdysplasie beidseits stimmt somit grundsätzlich mit den Diagnosen des SMCA-BA überein. Ein Unterschied ist darin auszumachen, dass Dr. B.___ im Gegensatz zu den Gutachtern des SMCA-BA lediglich von einer angedeuteten Hüftdysplasie ausgeht und zudem keinen Verdacht auf eine somatoforme Schmerzstörung feststellte. Bei den Anforderungen an eine leidensangepasste Tätigkeit gehen die Gutachter übereinstimmend von einer wechselbelastenden Tätigkeit aus. Dr. B.___ führt diesbezüglich zusätzlich aus, dass es sich um eine Tätigkeit ohne regelmässiges Heben oder Tragen von Gegenständen über 10kg handeln müsse. Die SMCA-BA Gutachter äussern sich dahingehend, dass es sich um eine Tätigkeit ohne Heben von Gewichten handeln solle. Sodann bestehen wie bereits erwähnt unterschiedliche Einschätzungen bezüglich der Arbeitsfähigkeit in einer adaptierten Tätigkeit. In der Beurteilung der SMCA-BA vom 1. September 2005 wurde eine 75%ige Arbeitsfähigkeit bestätigt, nachdem in einer vorangehenden Beurteilung vom 28. April 2005 eine solche erst prognostisch festgelegt wurde. Dr. B.___ attestierte für eine adaptierte Tätigkeit eine 90%ige Arbeitsfähigkeit. Aufgrund der medizinischen Aktenlage ist somit eine Arbeitsfähigkeit in einer adaptierten Tätigkeit von mindestens 75 und höchstens 90% ausgewiesen. Die Beurteilung von Dr. A.___ vom 22. Februar 2008, wonach er die Beschwerdeführerin in einer angepassten Tätigkeit für höchstens 50% arbeitsfähig erachte, vermag an den nachvollziehbaren Einschätzungen der SMCA-BA Gutachter und von Dr. B.___ keine Zweifel aufkommen zu lassen. Die tiefere Einschätzung der Arbeitsfähigkeit wurde durch Dr. A.___ nicht hinreichend begründet. Sodann muss die Erfahrungstatsache mitberücksichtigt werden, dass Hausärzte mitunter im Hinblick auf ihre auftragsrechtliche Vertrauensstellung in Zweifelsfällen eher zu Gunsten ihrer Patientin aussagen (BGE 125 V 351 E. 3b/cc; Urteil des Bundesgerichts vom 21. Dezember 2005, 4P.254/2005, E. 4.2). 3.4  Sowohl das Gutachten der SMCA-BA vom 1. September 2005 als auch das Gutachten von Dr. B.___ vom 4. September 2007 beruhen auf eigenständigen Abklärungen, mithin auf allseitigen Untersuchungen und sind damit für die streitigen Belange umfassend. Beide Gutachter waren bei der Beurteilung im Besitz sämtlicher Vorakten und haben die geklagten Beschwerden der Beschwerdeführerin berücksichtigt. Die Beschwerdegegnerin führte zu Recht aus, dass Dr. B.___ bei seiner Begutachtung im Besitz von Röntgenbildern vom 25. Januar 2007 war, welche als genügend aktuell für eine Beurteilung zu gelten haben. Die Gutachten leuchten in der Darlegung der medizinischen Zusammenhänge und in der Beurteilung der medizinischen Situation ein. Die Schlussfolgerungen der Gutachten, insbesondere die Beurteilungen der Arbeitsfähigkeit in einer adaptierten Tätigkeit sind nachvollziehbar und überzeugend. Bezüglich der Abweichung der Arbeitsfähigkeitsschätzung gilt es festzuhalten, dass diesbezüglich den Gutachtern zwangsläufig ein Ermessenspielraum zukommt. Die unterschiedliche Einschätzung von 75 respektive 90% ist somit nicht per se widersprüchlich. Entscheidend ist, dass sich die Gutachter bezüglich Diagnose und Einschränkungen in einer adaptierten Tätigkeit grundsätzlich einig sind. Somit kann festgehalten werden, dass beide Gutachten die praxisgemässen Kriterien für beweiskräftige Gutachten erfüllen (vgl. BGE 125 V 352). Wie die folgenden Erwägungen zeigen werden, braucht vorliegend nicht abschliessend entschieden zu werden, auf welches Gutachten bzw. auf welche Arbeitsfähigkeitseinschätzung abzustellen ist. Da selbst unter der Annahme einer lediglich 75%igen Restarbeitsfähigkeit keine rentenbegründende Invalidität hervorgeht, kann die entsprechende Frage offen gelassen und für die Festlegung des Invaliditätsgrads von einer 75%igen Arbeitsfähigkeit ausgegangen werden. 3.5  Insgesamt ergeben die Gutachten ein vollständiges Bild des Gesundheitszustands der Beschwerdeführerin, das hinreichende Klarheit über den rechtserheblichen Sachverhalt vermittelt. Eine verlässlichere Arbeitsfähigkeitsschätzung wäre auch von weiteren medizinischen Abklärungen nicht zu erwarten, weshalb darauf zu verzichten ist (antizipierte Beweiswürdigung; vgl. BGE 122 V 157, E. 1d).</w:t>
      </w:r>
    </w:p>
    <w:p>
      <w:r>
        <w:rPr>
          <w:b/>
        </w:rPr>
        <w:t>E. 4</w:t>
      </w:r>
    </w:p>
    <w:p>
      <w:r>
        <w:t>Die Beschwerdegegnerin hat bei der Ermittlung des Invaliditätsgrads zu Recht sowohl beim Validen- als auch beim Invalideneinkommen auf die vom Bundesamt für Statistik herausgegebene Schweizerische Lohnstrukturerhebung (LSE) abgestellt. Dieses Vorgehen wurde im Übrigen von der Beschwerdeführerin auch nicht bestritten. Sind demnach Validen- und Invalideneinkommen ausgehend vom selben Lohn zu berechnen, erübrigt sich deren genaue Ermittlung. Diesfalls entspricht der Invaliditätsgrad dem Grad der Arbeitsunfähigkeit unter Berücksichtigung des Abzuges vom Tabellenlohn (vgl. SVR 2008 IV Nr. 2 S. 3 E. 5.4).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Aufgrund der vorliegenden Akten und unter Berücksichtigung der Rechtsprechung sind die Voraussetzungen für einen Abzug von maximal 15% gegeben. Daraus würde höchstens ein Invaliditätsgrad von gerundet 36% resultieren (100% - [75% x 85%]). Zusammenfassend ist festzuhalten, dass der zu ermittelnde Invaliditätsgrad selbst bei Annahme einer 75%igen Arbeitsfähigkeit in einer adaptierten Tätigkeit im rentenausschliessenden Bereich liegt. Die angefochtene Verfügung vom 31. Januar 2008 ist somit zumindest im Ergebnis nicht zu beanstanden.</w:t>
      </w:r>
    </w:p>
    <w:p>
      <w:r>
        <w:rPr>
          <w:b/>
        </w:rPr>
        <w:t>E. 5</w:t>
      </w:r>
    </w:p>
    <w:p>
      <w:r>
        <w:t>5.1  Im Sinn der vorstehenden Erwägungen ist die Beschwerde vom 5. März 2008 unter Bestätigung der angefochtenen Verfügung abzuweisen. 5.2  Der Beschwerdeführerin wurde die unentgeltliche Rechtspflege und Rechtsverbeiständung am 19. Mai 2008 bewilligt (act. G 6). Wenn die wirtschaftlichen Verhältnisse der Beschwerdeführerin es gestatten, kann sie jedoch zur Nachzahlung der Gerichtskosten, der Auslagen für die Vertretung und der vom Staat entschädigten Parteikosten verpflichtet werden (Art. 288 Abs. 1 ZPO/SG i.V.m. Art. 99 Abs. 2 VRP/SG). 5.3  Der unterliegenden Beschwerdeführerin sind die Gerichtskosten in der Höhe von Fr. 600.-- aufzuerlegen. Zufolge unentgeltlicher Rechtspflege ist sie von der Bezahlung zu befreien. 5.4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Mangels Kostennote ist die Entschädigung vom Gericht ermessensweise festzusetzen. Ein Betrag von Fr. 2'800.-- (80% von Fr. 3'500.--; inklusive Barauslagen und Mehrwertsteuer) scheint der Bedeutung der Streitsache und der Schwierigkeit des Prozesses angemessen. Demgemäss hat das Versicherungsgericht im Zirkulationsverfahren gemäss Art. 53 GerG entschieden: 1. Die Beschwerde wird abgewiesen. 2. Die Beschwerdeführerin wird im Sinn der Erwägungen von der Bezahlung der Gerichtkosten von Fr. 600.-- befreit. 3. Der Staat hat die Rechtsvertreterin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